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42D2A516"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1C011F" w:rsidRPr="00E4427B">
        <w:rPr>
          <w:rFonts w:eastAsia="Times New Roman" w:cstheme="minorHAnsi"/>
          <w:b/>
          <w:u w:val="single"/>
          <w:lang w:eastAsia="it-IT"/>
        </w:rPr>
        <w:t>3</w:t>
      </w:r>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70F79570" w14:textId="1FB1DBE3" w:rsidR="00DF1A2B" w:rsidRDefault="00E90DC9" w:rsidP="00DF1A2B">
      <w:pPr>
        <w:spacing w:after="0" w:line="240" w:lineRule="auto"/>
        <w:ind w:left="11" w:hanging="11"/>
        <w:jc w:val="both"/>
        <w:rPr>
          <w:rFonts w:cstheme="minorHAnsi"/>
          <w:b/>
        </w:rPr>
      </w:pPr>
      <w:r w:rsidRPr="008F6436">
        <w:rPr>
          <w:rFonts w:ascii="Arial" w:hAnsi="Arial" w:cs="Arial"/>
          <w:sz w:val="18"/>
          <w:szCs w:val="18"/>
        </w:rPr>
        <w:t xml:space="preserve">AFFIDAMENTO </w:t>
      </w:r>
      <w:r>
        <w:rPr>
          <w:rFonts w:ascii="Arial" w:hAnsi="Arial" w:cs="Arial"/>
          <w:sz w:val="18"/>
          <w:szCs w:val="18"/>
        </w:rPr>
        <w:t>DEL SERVIZIO DI ASSISTENZA EDUCATIVA SPECIALISTICA</w:t>
      </w:r>
      <w:r w:rsidR="00D44C72" w:rsidRPr="00E4427B">
        <w:rPr>
          <w:rFonts w:cstheme="minorHAnsi"/>
          <w:b/>
        </w:rPr>
        <w:t xml:space="preserve"> </w:t>
      </w:r>
      <w:r w:rsidR="009C63E4">
        <w:rPr>
          <w:rFonts w:cstheme="minorHAnsi"/>
          <w:b/>
        </w:rPr>
        <w:t xml:space="preserve">– </w:t>
      </w:r>
      <w:r w:rsidR="005B7EBB">
        <w:rPr>
          <w:rFonts w:ascii="Arial" w:hAnsi="Arial" w:cs="Arial"/>
          <w:sz w:val="18"/>
          <w:szCs w:val="18"/>
        </w:rPr>
        <w:t xml:space="preserve">CFP PAULLO </w:t>
      </w:r>
      <w:r w:rsidR="00A104DE">
        <w:rPr>
          <w:rFonts w:ascii="Arial" w:hAnsi="Arial" w:cs="Arial"/>
          <w:sz w:val="18"/>
          <w:szCs w:val="18"/>
        </w:rPr>
        <w:t xml:space="preserve">(MILANO), PIEVE E., ROZZANO </w:t>
      </w:r>
      <w:r w:rsidR="005B7EBB">
        <w:rPr>
          <w:rFonts w:ascii="Arial" w:hAnsi="Arial" w:cs="Arial"/>
          <w:sz w:val="18"/>
          <w:szCs w:val="18"/>
        </w:rPr>
        <w:t>CL</w:t>
      </w:r>
      <w:r w:rsidR="00A104DE">
        <w:rPr>
          <w:rFonts w:ascii="Arial" w:hAnsi="Arial" w:cs="Arial"/>
          <w:sz w:val="18"/>
          <w:szCs w:val="18"/>
        </w:rPr>
        <w:t>ASSI PRIME</w:t>
      </w:r>
    </w:p>
    <w:p w14:paraId="59CAFC29" w14:textId="080389B0" w:rsidR="005E7355" w:rsidRPr="00DF1A2B" w:rsidRDefault="005E7355" w:rsidP="00DF1A2B">
      <w:pPr>
        <w:spacing w:after="0" w:line="240" w:lineRule="auto"/>
        <w:ind w:left="11" w:hanging="11"/>
        <w:jc w:val="both"/>
        <w:rPr>
          <w:rFonts w:cstheme="minorHAnsi"/>
          <w:b/>
        </w:rPr>
      </w:pPr>
      <w:r w:rsidRPr="00543541">
        <w:rPr>
          <w:rFonts w:cstheme="minorHAnsi"/>
          <w:b/>
        </w:rPr>
        <w:t>CIG</w:t>
      </w:r>
      <w:r w:rsidRPr="00543541">
        <w:rPr>
          <w:rFonts w:cstheme="minorHAnsi"/>
        </w:rPr>
        <w:t xml:space="preserve"> </w:t>
      </w:r>
      <w:r w:rsidR="00FB74E5">
        <w:rPr>
          <w:rFonts w:ascii="Times New Roman" w:hAnsi="Times New Roman" w:cs="Arial"/>
          <w:sz w:val="20"/>
          <w:szCs w:val="20"/>
        </w:rPr>
        <w:t>A0122BDD90</w:t>
      </w:r>
      <w:bookmarkStart w:id="0" w:name="_GoBack"/>
      <w:bookmarkEnd w:id="0"/>
    </w:p>
    <w:p w14:paraId="17DD6B59" w14:textId="5D672A34" w:rsidR="002337D4" w:rsidRPr="00E4427B" w:rsidRDefault="002337D4" w:rsidP="002337D4">
      <w:pPr>
        <w:jc w:val="both"/>
        <w:rPr>
          <w:rFonts w:eastAsia="Times New Roman" w:cstheme="minorHAnsi"/>
          <w:b/>
          <w:lang w:eastAsia="it-IT"/>
        </w:rPr>
      </w:pP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7CF39A1F"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i dati identificativi dei soggetti di cui all’art. </w:t>
      </w:r>
      <w:r w:rsidR="005458E3">
        <w:rPr>
          <w:rFonts w:eastAsia="Courier New" w:cstheme="minorHAnsi"/>
          <w:kern w:val="3"/>
          <w:lang w:eastAsia="it-IT"/>
        </w:rPr>
        <w:t>94</w:t>
      </w:r>
      <w:r>
        <w:rPr>
          <w:rFonts w:eastAsia="Courier New" w:cstheme="minorHAnsi"/>
          <w:kern w:val="3"/>
          <w:lang w:eastAsia="it-IT"/>
        </w:rPr>
        <w:t xml:space="preserve">, comma 3), D.lgs. n. </w:t>
      </w:r>
      <w:r w:rsidR="005458E3">
        <w:rPr>
          <w:rFonts w:eastAsia="Courier New" w:cstheme="minorHAnsi"/>
          <w:kern w:val="3"/>
          <w:lang w:eastAsia="it-IT"/>
        </w:rPr>
        <w:t>36/2023</w:t>
      </w:r>
      <w:r>
        <w:rPr>
          <w:rFonts w:eastAsia="Courier New" w:cstheme="minorHAnsi"/>
          <w:kern w:val="3"/>
          <w:lang w:eastAsia="it-IT"/>
        </w:rPr>
        <w:t xml:space="preserve">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BA0788" w:rsidRPr="003430CE" w14:paraId="31D80154"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32D172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23DD0CB8"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723DA1D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4177B63D"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28970D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45FD95F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2C6FC56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6F5E17B"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3430CE" w:rsidRPr="003430CE" w14:paraId="3488DD92" w14:textId="77777777" w:rsidTr="007C3BCD">
        <w:trPr>
          <w:trHeight w:val="452"/>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46C94599"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327FE60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6FA9A15E"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59A07DC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7D05DAA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4A36FE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D089C00"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7E5596D8" w14:textId="77777777" w:rsidR="003430CE" w:rsidRPr="003430CE" w:rsidRDefault="003430CE"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essere consapevole che è necessario produrre, in allegato alla presente, la copia integrale della visura camerale aggiornata con l’attuale compagine societaria contenente tutti i componenti di cui 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0B9E2F80"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07F8BAB1"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 xml:space="preserve">he nei confronti dei soggetti indicati al comma 3 dell’art. </w:t>
      </w:r>
      <w:r w:rsidR="005458E3">
        <w:rPr>
          <w:rFonts w:eastAsia="Courier New" w:cstheme="minorHAnsi"/>
          <w:kern w:val="3"/>
          <w:lang w:eastAsia="it-IT"/>
        </w:rPr>
        <w:t>94</w:t>
      </w:r>
      <w:r w:rsidR="007C3BCD">
        <w:rPr>
          <w:rFonts w:eastAsia="Courier New" w:cstheme="minorHAnsi"/>
          <w:kern w:val="3"/>
          <w:lang w:eastAsia="it-IT"/>
        </w:rPr>
        <w:t xml:space="preserve">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lastRenderedPageBreak/>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60A93BCF"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l’Impresa si trova in stato di controllo giudiziario, ai sensi dell’art. 34-bis, commi 6 e 7 D.lgs. 159/2011;</w:t>
      </w:r>
    </w:p>
    <w:p w14:paraId="75FAA937" w14:textId="05147EA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sidR="005458E3">
        <w:rPr>
          <w:rFonts w:eastAsia="Courier New" w:cstheme="minorHAnsi"/>
          <w:b/>
          <w:kern w:val="3"/>
          <w:lang w:eastAsia="it-IT"/>
        </w:rPr>
        <w:t>6</w:t>
      </w:r>
      <w:r w:rsidRPr="00464A4E">
        <w:rPr>
          <w:rFonts w:eastAsia="Courier New" w:cstheme="minorHAnsi"/>
          <w:b/>
          <w:kern w:val="3"/>
          <w:lang w:eastAsia="it-IT"/>
        </w:rPr>
        <w:t>, del Codice</w:t>
      </w:r>
    </w:p>
    <w:p w14:paraId="276245FF" w14:textId="39FEF732"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 xml:space="preserve">Per l’esecuzione degli accertamenti di cui all’art. </w:t>
      </w:r>
      <w:r w:rsidR="005458E3">
        <w:rPr>
          <w:rFonts w:eastAsia="Courier New" w:cstheme="minorHAnsi"/>
          <w:kern w:val="3"/>
          <w:lang w:eastAsia="it-IT"/>
        </w:rPr>
        <w:t>94</w:t>
      </w:r>
      <w:r>
        <w:rPr>
          <w:rFonts w:eastAsia="Courier New" w:cstheme="minorHAnsi"/>
          <w:kern w:val="3"/>
          <w:lang w:eastAsia="it-IT"/>
        </w:rPr>
        <w:t xml:space="preserve">, comma </w:t>
      </w:r>
      <w:r w:rsidR="005458E3">
        <w:rPr>
          <w:rFonts w:eastAsia="Courier New" w:cstheme="minorHAnsi"/>
          <w:kern w:val="3"/>
          <w:lang w:eastAsia="it-IT"/>
        </w:rPr>
        <w:t>6</w:t>
      </w:r>
      <w:r>
        <w:rPr>
          <w:rFonts w:eastAsia="Courier New" w:cstheme="minorHAnsi"/>
          <w:kern w:val="3"/>
          <w:lang w:eastAsia="it-IT"/>
        </w:rPr>
        <w:t xml:space="preserve">, D.lgs. </w:t>
      </w:r>
      <w:r w:rsidR="005458E3">
        <w:rPr>
          <w:rFonts w:eastAsia="Courier New" w:cstheme="minorHAnsi"/>
          <w:kern w:val="3"/>
          <w:lang w:eastAsia="it-IT"/>
        </w:rPr>
        <w:t>36/2023</w:t>
      </w:r>
      <w:r>
        <w:rPr>
          <w:rFonts w:eastAsia="Courier New" w:cstheme="minorHAnsi"/>
          <w:kern w:val="3"/>
          <w:lang w:eastAsia="it-IT"/>
        </w:rPr>
        <w:t>,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33C6FF06"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r>
        <w:rPr>
          <w:rFonts w:eastAsia="Courier New" w:cstheme="minorHAnsi"/>
          <w:b/>
          <w:kern w:val="3"/>
          <w:lang w:eastAsia="it-IT"/>
        </w:rPr>
        <w:t>lett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r w:rsidRPr="001679A0">
        <w:rPr>
          <w:rFonts w:eastAsia="Courier New" w:cstheme="minorHAnsi"/>
          <w:b/>
          <w:kern w:val="3"/>
          <w:lang w:eastAsia="it-IT"/>
        </w:rPr>
        <w:t xml:space="preserve">lett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77EE156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non si è reso colpevole delle fattispecie di cui all’art. </w:t>
      </w:r>
      <w:r w:rsidR="00E95535">
        <w:rPr>
          <w:rFonts w:eastAsia="Times New Roman" w:cstheme="minorHAnsi"/>
          <w:bCs/>
          <w:lang w:eastAsia="it-IT"/>
        </w:rPr>
        <w:t>94</w:t>
      </w:r>
      <w:r w:rsidR="00D4400D">
        <w:rPr>
          <w:rFonts w:eastAsia="Times New Roman" w:cstheme="minorHAnsi"/>
          <w:bCs/>
          <w:lang w:eastAsia="it-IT"/>
        </w:rPr>
        <w:t>,</w:t>
      </w:r>
      <w:r w:rsidRPr="00E4427B">
        <w:rPr>
          <w:rFonts w:eastAsia="Times New Roman" w:cstheme="minorHAnsi"/>
          <w:bCs/>
          <w:lang w:eastAsia="it-IT"/>
        </w:rPr>
        <w:t xml:space="preserve"> comma</w:t>
      </w:r>
      <w:r w:rsidR="00E95535">
        <w:rPr>
          <w:rFonts w:eastAsia="Times New Roman" w:cstheme="minorHAnsi"/>
          <w:bCs/>
          <w:lang w:eastAsia="it-IT"/>
        </w:rPr>
        <w:t xml:space="preserve"> 3</w:t>
      </w:r>
      <w:r w:rsidR="00D4400D">
        <w:rPr>
          <w:rFonts w:eastAsia="Times New Roman" w:cstheme="minorHAnsi"/>
          <w:bCs/>
          <w:lang w:eastAsia="it-IT"/>
        </w:rPr>
        <w:t>,</w:t>
      </w:r>
      <w:r w:rsidRPr="00E4427B">
        <w:rPr>
          <w:rFonts w:eastAsia="Times New Roman" w:cstheme="minorHAnsi"/>
          <w:bCs/>
          <w:lang w:eastAsia="it-IT"/>
        </w:rPr>
        <w:t xml:space="preserve"> lett. </w:t>
      </w:r>
      <w:r w:rsidR="00E95535">
        <w:rPr>
          <w:rFonts w:eastAsia="Times New Roman" w:cstheme="minorHAnsi"/>
          <w:bCs/>
          <w:lang w:eastAsia="it-IT"/>
        </w:rPr>
        <w:t>b), c), d</w:t>
      </w:r>
      <w:r w:rsidR="0048086A">
        <w:rPr>
          <w:rFonts w:eastAsia="Times New Roman" w:cstheme="minorHAnsi"/>
          <w:bCs/>
          <w:lang w:eastAsia="it-IT"/>
        </w:rPr>
        <w:t>)</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408CC0DD"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si è reso colpevole delle fattispecie di cui all’art. </w:t>
      </w:r>
      <w:r w:rsidR="00E95535">
        <w:rPr>
          <w:rFonts w:eastAsia="Times New Roman" w:cstheme="minorHAnsi"/>
          <w:bCs/>
          <w:lang w:eastAsia="it-IT"/>
        </w:rPr>
        <w:t>98</w:t>
      </w:r>
      <w:r w:rsidR="00D4400D">
        <w:rPr>
          <w:rFonts w:eastAsia="Times New Roman" w:cstheme="minorHAnsi"/>
          <w:bCs/>
          <w:lang w:eastAsia="it-IT"/>
        </w:rPr>
        <w:t>,</w:t>
      </w:r>
      <w:r w:rsidRPr="00E4427B">
        <w:rPr>
          <w:rFonts w:eastAsia="Times New Roman" w:cstheme="minorHAnsi"/>
          <w:bCs/>
          <w:lang w:eastAsia="it-IT"/>
        </w:rPr>
        <w:t xml:space="preserve"> comma </w:t>
      </w:r>
      <w:r w:rsidR="00E95535">
        <w:rPr>
          <w:rFonts w:eastAsia="Times New Roman" w:cstheme="minorHAnsi"/>
          <w:bCs/>
          <w:lang w:eastAsia="it-IT"/>
        </w:rPr>
        <w:t>3</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12314269"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w:t>
      </w:r>
      <w:r w:rsidR="00E95535">
        <w:rPr>
          <w:rFonts w:eastAsia="Times New Roman" w:cstheme="minorHAnsi"/>
          <w:bCs/>
          <w:lang w:eastAsia="it-IT"/>
        </w:rPr>
        <w:t>98</w:t>
      </w:r>
      <w:r w:rsidRPr="00E4427B">
        <w:rPr>
          <w:rFonts w:eastAsia="Times New Roman" w:cstheme="minorHAnsi"/>
          <w:bCs/>
          <w:lang w:eastAsia="it-IT"/>
        </w:rPr>
        <w:t xml:space="preserve"> comma </w:t>
      </w:r>
      <w:r w:rsidR="00E95535">
        <w:rPr>
          <w:rFonts w:eastAsia="Times New Roman" w:cstheme="minorHAnsi"/>
          <w:bCs/>
          <w:lang w:eastAsia="it-IT"/>
        </w:rPr>
        <w:t>3</w:t>
      </w:r>
      <w:r w:rsidRPr="00E4427B">
        <w:rPr>
          <w:rFonts w:eastAsia="Times New Roman" w:cstheme="minorHAnsi"/>
          <w:bCs/>
          <w:lang w:eastAsia="it-IT"/>
        </w:rPr>
        <w:t xml:space="preserve"> lettere </w:t>
      </w:r>
      <w:r w:rsidR="00E95535">
        <w:rPr>
          <w:rFonts w:eastAsia="Times New Roman" w:cstheme="minorHAnsi"/>
          <w:bCs/>
          <w:lang w:eastAsia="it-IT"/>
        </w:rPr>
        <w:t>b)</w:t>
      </w:r>
      <w:r w:rsidRPr="00E4427B">
        <w:rPr>
          <w:rFonts w:eastAsia="Times New Roman" w:cstheme="minorHAnsi"/>
          <w:bCs/>
          <w:lang w:eastAsia="it-IT"/>
        </w:rPr>
        <w:t>, c</w:t>
      </w:r>
      <w:r w:rsidR="00E95535">
        <w:rPr>
          <w:rFonts w:eastAsia="Times New Roman" w:cstheme="minorHAnsi"/>
          <w:bCs/>
          <w:lang w:eastAsia="it-IT"/>
        </w:rPr>
        <w:t>)</w:t>
      </w:r>
      <w:r w:rsidRPr="00E4427B">
        <w:rPr>
          <w:rFonts w:eastAsia="Times New Roman" w:cstheme="minorHAnsi"/>
          <w:bCs/>
          <w:lang w:eastAsia="it-IT"/>
        </w:rPr>
        <w:t xml:space="preserve"> </w:t>
      </w:r>
      <w:r w:rsidR="00E95535">
        <w:rPr>
          <w:rFonts w:eastAsia="Times New Roman" w:cstheme="minorHAnsi"/>
          <w:bCs/>
          <w:lang w:eastAsia="it-IT"/>
        </w:rPr>
        <w:t xml:space="preserve">, d) </w:t>
      </w:r>
      <w:r w:rsidRPr="00E4427B">
        <w:rPr>
          <w:rFonts w:eastAsia="Times New Roman" w:cstheme="minorHAnsi"/>
          <w:bCs/>
          <w:lang w:eastAsia="it-IT"/>
        </w:rPr>
        <w:t>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sidRPr="00E4427B">
        <w:rPr>
          <w:rFonts w:eastAsia="Times New Roman" w:cstheme="minorHAnsi"/>
          <w:bCs/>
          <w:lang w:eastAsia="it-IT"/>
        </w:rPr>
        <w:t xml:space="preserve">,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lastRenderedPageBreak/>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EB08548"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 xml:space="preserve">che ad integrazione di quanto indicato nella parte III, sez. D del DGUE, i dati identificativi dei soggetti di cui all’art. </w:t>
      </w:r>
      <w:r w:rsidR="00E95535" w:rsidRPr="00E95535">
        <w:rPr>
          <w:rFonts w:eastAsia="Times New Roman" w:cstheme="minorHAnsi"/>
          <w:bCs/>
          <w:lang w:eastAsia="it-IT"/>
        </w:rPr>
        <w:t>94</w:t>
      </w:r>
      <w:r>
        <w:rPr>
          <w:rFonts w:eastAsia="Times New Roman" w:cstheme="minorHAnsi"/>
          <w:bCs/>
          <w:lang w:eastAsia="it-IT"/>
        </w:rPr>
        <w:t xml:space="preserve">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lastRenderedPageBreak/>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02A5FBEC"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w:t>
      </w:r>
      <w:r w:rsidR="00E95535">
        <w:rPr>
          <w:rFonts w:eastAsia="Times New Roman" w:cstheme="minorHAnsi"/>
          <w:bCs/>
          <w:lang w:eastAsia="it-IT"/>
        </w:rPr>
        <w:t>6</w:t>
      </w:r>
      <w:r w:rsidRPr="00BE6028">
        <w:rPr>
          <w:rFonts w:eastAsia="Times New Roman" w:cstheme="minorHAnsi"/>
          <w:bCs/>
          <w:lang w:eastAsia="it-IT"/>
        </w:rPr>
        <w:t>5, comma 2 lett. c) D.</w:t>
      </w:r>
      <w:r w:rsidR="00E95535">
        <w:rPr>
          <w:rFonts w:eastAsia="Times New Roman" w:cstheme="minorHAnsi"/>
          <w:bCs/>
          <w:lang w:eastAsia="it-IT"/>
        </w:rPr>
        <w:t>l</w:t>
      </w:r>
      <w:r w:rsidRPr="00BE6028">
        <w:rPr>
          <w:rFonts w:eastAsia="Times New Roman" w:cstheme="minorHAnsi"/>
          <w:bCs/>
          <w:lang w:eastAsia="it-IT"/>
        </w:rPr>
        <w:t xml:space="preserve">gs. </w:t>
      </w:r>
      <w:r w:rsidR="00E95535">
        <w:rPr>
          <w:rFonts w:eastAsia="Times New Roman" w:cstheme="minorHAnsi"/>
          <w:bCs/>
          <w:lang w:eastAsia="it-IT"/>
        </w:rPr>
        <w:t>36/2023</w:t>
      </w:r>
      <w:r w:rsidRPr="00BE6028">
        <w:rPr>
          <w:rFonts w:eastAsia="Times New Roman" w:cstheme="minorHAnsi"/>
          <w:bCs/>
          <w:lang w:eastAsia="it-IT"/>
        </w:rPr>
        <w:t xml:space="preserve">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1334D03A"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w:t>
      </w:r>
      <w:r w:rsidR="00B35BE2">
        <w:rPr>
          <w:rFonts w:eastAsia="Times New Roman" w:cstheme="minorHAnsi"/>
          <w:bCs/>
          <w:lang w:eastAsia="it-IT"/>
        </w:rPr>
        <w:t>13</w:t>
      </w:r>
      <w:r w:rsidRPr="00E4427B">
        <w:rPr>
          <w:rFonts w:eastAsia="Times New Roman" w:cstheme="minorHAnsi"/>
          <w:bCs/>
          <w:lang w:eastAsia="it-IT"/>
        </w:rPr>
        <w:t xml:space="preserve"> comma 2 D.</w:t>
      </w:r>
      <w:r w:rsidR="00B35BE2">
        <w:rPr>
          <w:rFonts w:eastAsia="Times New Roman" w:cstheme="minorHAnsi"/>
          <w:bCs/>
          <w:lang w:eastAsia="it-IT"/>
        </w:rPr>
        <w:t>l</w:t>
      </w:r>
      <w:r w:rsidRPr="00E4427B">
        <w:rPr>
          <w:rFonts w:eastAsia="Times New Roman" w:cstheme="minorHAnsi"/>
          <w:bCs/>
          <w:lang w:eastAsia="it-IT"/>
        </w:rPr>
        <w:t xml:space="preserve">gs. </w:t>
      </w:r>
      <w:r w:rsidR="00B35BE2">
        <w:rPr>
          <w:rFonts w:eastAsia="Times New Roman" w:cstheme="minorHAnsi"/>
          <w:bCs/>
          <w:lang w:eastAsia="it-IT"/>
        </w:rPr>
        <w:t>36/2023</w:t>
      </w:r>
      <w:r w:rsidRPr="00E4427B">
        <w:rPr>
          <w:rFonts w:eastAsia="Times New Roman" w:cstheme="minorHAnsi"/>
          <w:bCs/>
          <w:lang w:eastAsia="it-IT"/>
        </w:rPr>
        <w:t>,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615EC9AD"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w:t>
      </w:r>
      <w:r w:rsidR="00B35BE2">
        <w:rPr>
          <w:rFonts w:eastAsia="Times New Roman" w:cstheme="minorHAnsi"/>
          <w:bCs/>
          <w:lang w:eastAsia="it-IT"/>
        </w:rPr>
        <w:t>l</w:t>
      </w:r>
      <w:r w:rsidRPr="00E4427B">
        <w:rPr>
          <w:rFonts w:eastAsia="Times New Roman" w:cstheme="minorHAnsi"/>
          <w:bCs/>
          <w:lang w:eastAsia="it-IT"/>
        </w:rPr>
        <w:t>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Sintel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0C6BD714"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 xml:space="preserve">resente disciplinare </w:t>
      </w:r>
      <w:r w:rsidRPr="00E4427B">
        <w:rPr>
          <w:rFonts w:eastAsia="Times New Roman" w:cstheme="minorHAnsi"/>
          <w:bCs/>
          <w:lang w:eastAsia="it-IT"/>
        </w:rPr>
        <w:t>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w:t>
      </w:r>
      <w:r w:rsidRPr="00E4427B">
        <w:rPr>
          <w:rFonts w:eastAsia="Times New Roman" w:cstheme="minorHAnsi"/>
          <w:bCs/>
          <w:lang w:eastAsia="it-IT"/>
        </w:rPr>
        <w:lastRenderedPageBreak/>
        <w:t>insindacabile giudizio della stazione appaltante, con esclusione di offerte in aumento rispetto al 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1C83B357"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w:t>
      </w:r>
      <w:r w:rsidR="00B35BE2">
        <w:rPr>
          <w:rFonts w:eastAsia="Times New Roman" w:cstheme="minorHAnsi"/>
          <w:bCs/>
          <w:lang w:eastAsia="it-IT"/>
        </w:rPr>
        <w:t>90</w:t>
      </w:r>
      <w:r w:rsidR="008A1FC9" w:rsidRPr="00BE6028">
        <w:rPr>
          <w:rFonts w:eastAsia="Times New Roman" w:cstheme="minorHAnsi"/>
          <w:bCs/>
          <w:lang w:eastAsia="it-IT"/>
        </w:rPr>
        <w:t xml:space="preserve"> comma </w:t>
      </w:r>
      <w:r w:rsidR="00B35BE2">
        <w:rPr>
          <w:rFonts w:eastAsia="Times New Roman" w:cstheme="minorHAnsi"/>
          <w:bCs/>
          <w:lang w:eastAsia="it-IT"/>
        </w:rPr>
        <w:t>1</w:t>
      </w:r>
      <w:r w:rsidR="008A1FC9" w:rsidRPr="00BE6028">
        <w:rPr>
          <w:rFonts w:eastAsia="Times New Roman" w:cstheme="minorHAnsi"/>
          <w:bCs/>
          <w:lang w:eastAsia="it-IT"/>
        </w:rPr>
        <w:t xml:space="preserve"> D.</w:t>
      </w:r>
      <w:r w:rsidR="00B35BE2">
        <w:rPr>
          <w:rFonts w:eastAsia="Times New Roman" w:cstheme="minorHAnsi"/>
          <w:bCs/>
          <w:lang w:eastAsia="it-IT"/>
        </w:rPr>
        <w:t>l</w:t>
      </w:r>
      <w:r w:rsidR="008A1FC9" w:rsidRPr="00BE6028">
        <w:rPr>
          <w:rFonts w:eastAsia="Times New Roman" w:cstheme="minorHAnsi"/>
          <w:bCs/>
          <w:lang w:eastAsia="it-IT"/>
        </w:rPr>
        <w:t xml:space="preserve">gs. </w:t>
      </w:r>
      <w:r w:rsidR="00B35BE2">
        <w:rPr>
          <w:rFonts w:eastAsia="Times New Roman" w:cstheme="minorHAnsi"/>
          <w:bCs/>
          <w:lang w:eastAsia="it-IT"/>
        </w:rPr>
        <w:t>36/2023</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207189FD"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 xml:space="preserve">(Tale dichiarazione deve essere adeguatamente motivata e comprovata ai sensi dell’art. </w:t>
      </w:r>
      <w:r w:rsidR="00453125">
        <w:rPr>
          <w:rFonts w:eastAsia="Times New Roman" w:cstheme="minorHAnsi"/>
          <w:bCs/>
          <w:i/>
          <w:lang w:eastAsia="it-IT"/>
        </w:rPr>
        <w:t>35</w:t>
      </w:r>
      <w:r w:rsidRPr="00D93D1C">
        <w:rPr>
          <w:rFonts w:eastAsia="Times New Roman" w:cstheme="minorHAnsi"/>
          <w:bCs/>
          <w:i/>
          <w:lang w:eastAsia="it-IT"/>
        </w:rPr>
        <w:t xml:space="preserve">, comma </w:t>
      </w:r>
      <w:r w:rsidR="00453125">
        <w:rPr>
          <w:rFonts w:eastAsia="Times New Roman" w:cstheme="minorHAnsi"/>
          <w:bCs/>
          <w:i/>
          <w:lang w:eastAsia="it-IT"/>
        </w:rPr>
        <w:t>4</w:t>
      </w:r>
      <w:r w:rsidRPr="00D93D1C">
        <w:rPr>
          <w:rFonts w:eastAsia="Times New Roman" w:cstheme="minorHAnsi"/>
          <w:bCs/>
          <w:i/>
          <w:lang w:eastAsia="it-IT"/>
        </w:rPr>
        <w:t>, lett. a), D.</w:t>
      </w:r>
      <w:r w:rsidR="00453125">
        <w:rPr>
          <w:rFonts w:eastAsia="Times New Roman" w:cstheme="minorHAnsi"/>
          <w:bCs/>
          <w:i/>
          <w:lang w:eastAsia="it-IT"/>
        </w:rPr>
        <w:t>l</w:t>
      </w:r>
      <w:r w:rsidRPr="00D93D1C">
        <w:rPr>
          <w:rFonts w:eastAsia="Times New Roman" w:cstheme="minorHAnsi"/>
          <w:bCs/>
          <w:i/>
          <w:lang w:eastAsia="it-IT"/>
        </w:rPr>
        <w:t xml:space="preserve">gs. </w:t>
      </w:r>
      <w:r w:rsidR="00453125">
        <w:rPr>
          <w:rFonts w:eastAsia="Times New Roman" w:cstheme="minorHAnsi"/>
          <w:bCs/>
          <w:i/>
          <w:lang w:eastAsia="it-IT"/>
        </w:rPr>
        <w:t>36/2023</w:t>
      </w:r>
      <w:r w:rsidRPr="00D93D1C">
        <w:rPr>
          <w:rFonts w:eastAsia="Times New Roman" w:cstheme="minorHAnsi"/>
          <w:bCs/>
          <w:i/>
          <w:lang w:eastAsia="it-IT"/>
        </w:rPr>
        <w:t>.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039D300D"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w:t>
      </w:r>
      <w:r w:rsidR="00453125">
        <w:rPr>
          <w:rFonts w:eastAsia="Times New Roman" w:cstheme="minorHAnsi"/>
          <w:bCs/>
          <w:lang w:eastAsia="it-IT"/>
        </w:rPr>
        <w:t>l</w:t>
      </w:r>
      <w:r w:rsidRPr="00E4427B">
        <w:rPr>
          <w:rFonts w:eastAsia="Times New Roman" w:cstheme="minorHAnsi"/>
          <w:bCs/>
          <w:lang w:eastAsia="it-IT"/>
        </w:rPr>
        <w:t>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w:t>
      </w:r>
      <w:r w:rsidRPr="00E4427B">
        <w:rPr>
          <w:rFonts w:eastAsia="Times New Roman" w:cstheme="minorHAnsi"/>
          <w:bCs/>
          <w:lang w:eastAsia="it-IT"/>
        </w:rPr>
        <w:lastRenderedPageBreak/>
        <w:t>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486E2405"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1" w:name="_Hlk41270357"/>
      <w:r w:rsidRPr="00E4427B">
        <w:rPr>
          <w:rFonts w:eastAsia="Times New Roman" w:cstheme="minorHAnsi"/>
          <w:bCs/>
          <w:lang w:eastAsia="it-IT"/>
        </w:rPr>
        <w:t xml:space="preserve">(nel caso in cui i consorzi di cui all’art. </w:t>
      </w:r>
      <w:r w:rsidR="00453125">
        <w:rPr>
          <w:rFonts w:eastAsia="Times New Roman" w:cstheme="minorHAnsi"/>
          <w:bCs/>
          <w:lang w:eastAsia="it-IT"/>
        </w:rPr>
        <w:t>6</w:t>
      </w:r>
      <w:r w:rsidRPr="00E4427B">
        <w:rPr>
          <w:rFonts w:eastAsia="Times New Roman" w:cstheme="minorHAnsi"/>
          <w:bCs/>
          <w:lang w:eastAsia="it-IT"/>
        </w:rPr>
        <w:t xml:space="preserve">5, comma 2, lett. b) </w:t>
      </w:r>
      <w:r w:rsidR="00453125">
        <w:rPr>
          <w:rFonts w:eastAsia="Times New Roman" w:cstheme="minorHAnsi"/>
          <w:bCs/>
          <w:lang w:eastAsia="it-IT"/>
        </w:rPr>
        <w:t xml:space="preserve">c) </w:t>
      </w:r>
      <w:r w:rsidRPr="00E4427B">
        <w:rPr>
          <w:rFonts w:eastAsia="Times New Roman" w:cstheme="minorHAnsi"/>
          <w:bCs/>
          <w:lang w:eastAsia="it-IT"/>
        </w:rPr>
        <w:t xml:space="preserve">e </w:t>
      </w:r>
      <w:r w:rsidR="00453125">
        <w:rPr>
          <w:rFonts w:eastAsia="Times New Roman" w:cstheme="minorHAnsi"/>
          <w:bCs/>
          <w:lang w:eastAsia="it-IT"/>
        </w:rPr>
        <w:t>d</w:t>
      </w:r>
      <w:r w:rsidRPr="00E4427B">
        <w:rPr>
          <w:rFonts w:eastAsia="Times New Roman" w:cstheme="minorHAnsi"/>
          <w:bCs/>
          <w:lang w:eastAsia="it-IT"/>
        </w:rPr>
        <w:t>) D.</w:t>
      </w:r>
      <w:r w:rsidR="00453125">
        <w:rPr>
          <w:rFonts w:eastAsia="Times New Roman" w:cstheme="minorHAnsi"/>
          <w:bCs/>
          <w:lang w:eastAsia="it-IT"/>
        </w:rPr>
        <w:t>l</w:t>
      </w:r>
      <w:r w:rsidRPr="00E4427B">
        <w:rPr>
          <w:rFonts w:eastAsia="Times New Roman" w:cstheme="minorHAnsi"/>
          <w:bCs/>
          <w:lang w:eastAsia="it-IT"/>
        </w:rPr>
        <w:t xml:space="preserve">gs. </w:t>
      </w:r>
      <w:r w:rsidR="00453125">
        <w:rPr>
          <w:rFonts w:eastAsia="Times New Roman" w:cstheme="minorHAnsi"/>
          <w:bCs/>
          <w:lang w:eastAsia="it-IT"/>
        </w:rPr>
        <w:t>36/2023</w:t>
      </w:r>
      <w:r w:rsidRPr="00E4427B">
        <w:rPr>
          <w:rFonts w:eastAsia="Times New Roman" w:cstheme="minorHAnsi"/>
          <w:bCs/>
          <w:lang w:eastAsia="it-IT"/>
        </w:rPr>
        <w:t xml:space="preserve">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1"/>
    <w:p w14:paraId="2F33DBEA" w14:textId="7EE9370E"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w:t>
      </w:r>
      <w:r w:rsidR="00453125">
        <w:rPr>
          <w:rFonts w:eastAsia="Times New Roman" w:cstheme="minorHAnsi"/>
          <w:bCs/>
          <w:lang w:eastAsia="it-IT"/>
        </w:rPr>
        <w:t>l</w:t>
      </w:r>
      <w:r w:rsidRPr="00E4427B">
        <w:rPr>
          <w:rFonts w:eastAsia="Times New Roman" w:cstheme="minorHAnsi"/>
          <w:bCs/>
          <w:lang w:eastAsia="it-IT"/>
        </w:rPr>
        <w:t>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2"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2"/>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72D702B1"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DF1A2B">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F1A2B">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B36CD"/>
    <w:rsid w:val="002D416F"/>
    <w:rsid w:val="002F45C3"/>
    <w:rsid w:val="003118F4"/>
    <w:rsid w:val="0031223B"/>
    <w:rsid w:val="003430CE"/>
    <w:rsid w:val="00352C21"/>
    <w:rsid w:val="00355988"/>
    <w:rsid w:val="00395E1E"/>
    <w:rsid w:val="003A001E"/>
    <w:rsid w:val="003B6FC7"/>
    <w:rsid w:val="003C3105"/>
    <w:rsid w:val="003D5797"/>
    <w:rsid w:val="003F093F"/>
    <w:rsid w:val="003F4120"/>
    <w:rsid w:val="00407BA5"/>
    <w:rsid w:val="00432FE2"/>
    <w:rsid w:val="00453125"/>
    <w:rsid w:val="00464A4E"/>
    <w:rsid w:val="0048086A"/>
    <w:rsid w:val="00483C77"/>
    <w:rsid w:val="00486EF3"/>
    <w:rsid w:val="00494FD2"/>
    <w:rsid w:val="004B0914"/>
    <w:rsid w:val="004D5C8C"/>
    <w:rsid w:val="00506C41"/>
    <w:rsid w:val="00516481"/>
    <w:rsid w:val="005245B3"/>
    <w:rsid w:val="005300B9"/>
    <w:rsid w:val="00543541"/>
    <w:rsid w:val="005458E3"/>
    <w:rsid w:val="005460BB"/>
    <w:rsid w:val="00554F54"/>
    <w:rsid w:val="00576E9F"/>
    <w:rsid w:val="005A2BFB"/>
    <w:rsid w:val="005A7E17"/>
    <w:rsid w:val="005B6319"/>
    <w:rsid w:val="005B7DA5"/>
    <w:rsid w:val="005B7EBB"/>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53D0"/>
    <w:rsid w:val="00697550"/>
    <w:rsid w:val="006975ED"/>
    <w:rsid w:val="006B25B9"/>
    <w:rsid w:val="006C6EA9"/>
    <w:rsid w:val="006F323C"/>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0188B"/>
    <w:rsid w:val="0091502E"/>
    <w:rsid w:val="009339A7"/>
    <w:rsid w:val="00965165"/>
    <w:rsid w:val="00987E46"/>
    <w:rsid w:val="00991752"/>
    <w:rsid w:val="00996FA7"/>
    <w:rsid w:val="009A5101"/>
    <w:rsid w:val="009B120C"/>
    <w:rsid w:val="009B66A2"/>
    <w:rsid w:val="009C4C2F"/>
    <w:rsid w:val="009C63E4"/>
    <w:rsid w:val="009F0C6F"/>
    <w:rsid w:val="009F6A5C"/>
    <w:rsid w:val="00A0115D"/>
    <w:rsid w:val="00A030F3"/>
    <w:rsid w:val="00A104DE"/>
    <w:rsid w:val="00A275D9"/>
    <w:rsid w:val="00A32BA1"/>
    <w:rsid w:val="00A472B9"/>
    <w:rsid w:val="00A47A2D"/>
    <w:rsid w:val="00A629C3"/>
    <w:rsid w:val="00A670B9"/>
    <w:rsid w:val="00A8564A"/>
    <w:rsid w:val="00A85F21"/>
    <w:rsid w:val="00A948CD"/>
    <w:rsid w:val="00A976C6"/>
    <w:rsid w:val="00AA04B7"/>
    <w:rsid w:val="00AD3E52"/>
    <w:rsid w:val="00AD525E"/>
    <w:rsid w:val="00B35BE2"/>
    <w:rsid w:val="00B62851"/>
    <w:rsid w:val="00B72737"/>
    <w:rsid w:val="00B944CD"/>
    <w:rsid w:val="00BA0788"/>
    <w:rsid w:val="00BB5342"/>
    <w:rsid w:val="00BE6028"/>
    <w:rsid w:val="00C01CD7"/>
    <w:rsid w:val="00C10824"/>
    <w:rsid w:val="00C16133"/>
    <w:rsid w:val="00C60092"/>
    <w:rsid w:val="00C62442"/>
    <w:rsid w:val="00C6314B"/>
    <w:rsid w:val="00C668DD"/>
    <w:rsid w:val="00C77EE3"/>
    <w:rsid w:val="00C94E01"/>
    <w:rsid w:val="00D124C2"/>
    <w:rsid w:val="00D20888"/>
    <w:rsid w:val="00D32DA8"/>
    <w:rsid w:val="00D4400D"/>
    <w:rsid w:val="00D44C72"/>
    <w:rsid w:val="00D50F6D"/>
    <w:rsid w:val="00D74F26"/>
    <w:rsid w:val="00D93D1C"/>
    <w:rsid w:val="00DC5A33"/>
    <w:rsid w:val="00DC7E4E"/>
    <w:rsid w:val="00DD424B"/>
    <w:rsid w:val="00DE284A"/>
    <w:rsid w:val="00DE4724"/>
    <w:rsid w:val="00DE73B1"/>
    <w:rsid w:val="00DF1A2B"/>
    <w:rsid w:val="00E073FA"/>
    <w:rsid w:val="00E1641E"/>
    <w:rsid w:val="00E27D6F"/>
    <w:rsid w:val="00E4427B"/>
    <w:rsid w:val="00E64DA1"/>
    <w:rsid w:val="00E74DFC"/>
    <w:rsid w:val="00E8107B"/>
    <w:rsid w:val="00E851C8"/>
    <w:rsid w:val="00E90DC9"/>
    <w:rsid w:val="00E9419C"/>
    <w:rsid w:val="00E95535"/>
    <w:rsid w:val="00EB0C52"/>
    <w:rsid w:val="00EB4466"/>
    <w:rsid w:val="00EB6D7E"/>
    <w:rsid w:val="00ED7858"/>
    <w:rsid w:val="00F03A31"/>
    <w:rsid w:val="00F56FED"/>
    <w:rsid w:val="00F60680"/>
    <w:rsid w:val="00F7252C"/>
    <w:rsid w:val="00F903DD"/>
    <w:rsid w:val="00FA46DE"/>
    <w:rsid w:val="00FB4F18"/>
    <w:rsid w:val="00FB74E5"/>
    <w:rsid w:val="00FC0ED8"/>
    <w:rsid w:val="00FE453C"/>
    <w:rsid w:val="00FE4C8E"/>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A464-28DA-4BD7-9ED3-48D637B7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2828</Words>
  <Characters>16125</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15</cp:revision>
  <cp:lastPrinted>2022-07-18T16:47:00Z</cp:lastPrinted>
  <dcterms:created xsi:type="dcterms:W3CDTF">2022-09-29T12:51:00Z</dcterms:created>
  <dcterms:modified xsi:type="dcterms:W3CDTF">2023-09-20T09:40:00Z</dcterms:modified>
</cp:coreProperties>
</file>